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62CC2" w14:textId="3F42DDE9" w:rsidR="006879D6" w:rsidRPr="006879D6" w:rsidRDefault="00295A7B" w:rsidP="006879D6">
      <w:pPr>
        <w:pStyle w:val="Heading1"/>
        <w:rPr>
          <w:b w:val="0"/>
          <w:bCs w:val="0"/>
          <w:sz w:val="40"/>
          <w:szCs w:val="40"/>
        </w:rPr>
      </w:pPr>
      <w:r>
        <w:rPr>
          <w:b w:val="0"/>
          <w:bCs w:val="0"/>
          <w:sz w:val="40"/>
          <w:szCs w:val="40"/>
        </w:rPr>
        <w:t>Case study Report</w:t>
      </w:r>
    </w:p>
    <w:p w14:paraId="7FF9B152" w14:textId="77777777" w:rsidR="00526863" w:rsidRDefault="00526863" w:rsidP="00D26C5F">
      <w:pPr>
        <w:jc w:val="both"/>
        <w:rPr>
          <w:rFonts w:ascii="Calibri" w:hAnsi="Calibri" w:cs="Calibri"/>
          <w:b/>
          <w:bCs/>
        </w:rPr>
      </w:pPr>
      <w:r w:rsidRPr="00526863">
        <w:rPr>
          <w:rFonts w:ascii="Calibri" w:hAnsi="Calibri" w:cs="Calibri"/>
          <w:b/>
          <w:bCs/>
        </w:rPr>
        <w:t>Priority 8: Technical Assistance</w:t>
      </w:r>
    </w:p>
    <w:p w14:paraId="2CC89168" w14:textId="2914A348" w:rsidR="006879D6" w:rsidRDefault="00526863" w:rsidP="00D26C5F">
      <w:pPr>
        <w:jc w:val="both"/>
        <w:rPr>
          <w:rFonts w:ascii="Calibri" w:hAnsi="Calibri" w:cs="Calibri"/>
          <w:b/>
          <w:bCs/>
        </w:rPr>
      </w:pPr>
      <w:r w:rsidRPr="00526863">
        <w:rPr>
          <w:rFonts w:ascii="Calibri" w:hAnsi="Calibri" w:cs="Calibri"/>
          <w:b/>
          <w:bCs/>
        </w:rPr>
        <w:t>Project: SMIS 161692 – Support provided to the South-West Oltenia RDA during 2021–2023 for the efficient and transparent implementation of the South-West Oltenia Regional Programme 2021–2027;</w:t>
      </w:r>
      <w:r w:rsidRPr="00526863">
        <w:rPr>
          <w:rFonts w:ascii="Calibri" w:hAnsi="Calibri" w:cs="Calibri"/>
          <w:b/>
          <w:bCs/>
        </w:rPr>
        <w:br/>
        <w:t>SMIS 321270 – Support for the South-West Oltenia RDA in implementing the South-West Oltenia Regional Programme 2021–2027 and closing the 2014–2020 ROP</w:t>
      </w:r>
      <w:r w:rsidRPr="00526863">
        <w:rPr>
          <w:rFonts w:ascii="Calibri" w:hAnsi="Calibri" w:cs="Calibri"/>
          <w:b/>
          <w:bCs/>
        </w:rPr>
        <w:br/>
        <w:t>Beneficiary: South-West Oltenia Regional Development Agency</w:t>
      </w:r>
    </w:p>
    <w:p w14:paraId="2C3DE242" w14:textId="77777777" w:rsidR="000D2773" w:rsidRDefault="000D2773" w:rsidP="000D2773">
      <w:pPr>
        <w:pStyle w:val="ListParagraph"/>
        <w:jc w:val="both"/>
        <w:rPr>
          <w:rFonts w:ascii="Calibri" w:hAnsi="Calibri" w:cs="Calibri"/>
        </w:rPr>
      </w:pPr>
    </w:p>
    <w:p w14:paraId="1531BAC2" w14:textId="77777777" w:rsidR="00CD7ED1" w:rsidRPr="00CD7ED1" w:rsidRDefault="00CD7ED1" w:rsidP="00CD7ED1">
      <w:pPr>
        <w:jc w:val="both"/>
        <w:rPr>
          <w:rFonts w:ascii="Calibri" w:hAnsi="Calibri" w:cs="Calibri"/>
          <w:lang w:val="en-US"/>
        </w:rPr>
      </w:pPr>
      <w:r w:rsidRPr="00CD7ED1">
        <w:rPr>
          <w:rFonts w:ascii="Calibri" w:hAnsi="Calibri" w:cs="Calibri"/>
          <w:b/>
          <w:bCs/>
          <w:lang w:val="en-US"/>
        </w:rPr>
        <w:t>Implementation status of Priority 8 – Technical Assistance:</w:t>
      </w:r>
    </w:p>
    <w:p w14:paraId="2FD65C39" w14:textId="3E026469"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The Economic Directorate within the South-West Oltenia Regional Development Agency provides technical assistance not only for the Regional Programme but also for other programmes.</w:t>
      </w:r>
    </w:p>
    <w:p w14:paraId="4D9CD5F1"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Under Priority 8, two projects have been implemented: SMIS code 161692, implemented between 2021–2023 and now finalized; and SMIS code 321270, which is nearing completion and is scheduled to end on December 31.</w:t>
      </w:r>
    </w:p>
    <w:p w14:paraId="14C85339"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Technical assistance supports the activity of the Managing Authority. Through the submitted projects, the necessary financial resources are ensured for the Managing Authority's operations, including salaries, material resources, and services needed to carry out activities. Operations are proceeding normally, with no disruptions to date.</w:t>
      </w:r>
    </w:p>
    <w:p w14:paraId="642D6EEC"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The ENI jobs indicator is on track to reach the proposed target. Another indicator refers to the number of studies carried out, which includes the ongoing </w:t>
      </w:r>
      <w:proofErr w:type="gramStart"/>
      <w:r w:rsidRPr="00CD7ED1">
        <w:rPr>
          <w:rFonts w:ascii="Calibri" w:hAnsi="Calibri" w:cs="Calibri"/>
          <w:lang w:val="en-US"/>
        </w:rPr>
        <w:t>programme</w:t>
      </w:r>
      <w:proofErr w:type="gramEnd"/>
      <w:r w:rsidRPr="00CD7ED1">
        <w:rPr>
          <w:rFonts w:ascii="Calibri" w:hAnsi="Calibri" w:cs="Calibri"/>
          <w:lang w:val="en-US"/>
        </w:rPr>
        <w:t xml:space="preserve"> evaluation study. Events are planned for programme promotion and beneficiary information. Training activities are also planned to build the capacity of both Managing Authority staff and project beneficiaries — most of which have already been completed.</w:t>
      </w:r>
    </w:p>
    <w:p w14:paraId="3E053CEF" w14:textId="1952F6C5"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The indicators related to the technical assistance project (321270) have been met or even exceeded: for full-time equivalent jobs, the target was 100, and the current progress report shows 113. Regarding events, the target was 20, and 28 events have been organized so far. As for trained individuals, </w:t>
      </w:r>
      <w:proofErr w:type="gramStart"/>
      <w:r w:rsidRPr="00CD7ED1">
        <w:rPr>
          <w:rFonts w:ascii="Calibri" w:hAnsi="Calibri" w:cs="Calibri"/>
          <w:lang w:val="en-US"/>
        </w:rPr>
        <w:t>by</w:t>
      </w:r>
      <w:proofErr w:type="gramEnd"/>
      <w:r w:rsidRPr="00CD7ED1">
        <w:rPr>
          <w:rFonts w:ascii="Calibri" w:hAnsi="Calibri" w:cs="Calibri"/>
          <w:lang w:val="en-US"/>
        </w:rPr>
        <w:t xml:space="preserve"> the current progress report, there were 341 beneficiary representatives from 213 organizations; however, progress report no. 2 is being finalized, and the updated lists of trained beneficiaries are still being verified.</w:t>
      </w:r>
    </w:p>
    <w:p w14:paraId="69FF778F"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For the previous project (SMIS 161692), 84 individuals were trained compared to the 50 initially proposed. One study was carried out, and 27 events were organized, exceeding the proposed 24. Also, 57 full-time equivalent jobs were created, compared to the proposed 40.</w:t>
      </w:r>
    </w:p>
    <w:p w14:paraId="089AA7E2" w14:textId="6CDD824B"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The second project, still under implementation, will conclude at the end of the year. </w:t>
      </w:r>
      <w:r w:rsidR="00F30BF9">
        <w:rPr>
          <w:rFonts w:ascii="Calibri" w:hAnsi="Calibri" w:cs="Calibri"/>
          <w:lang w:val="en-US"/>
        </w:rPr>
        <w:t xml:space="preserve">RDA SW </w:t>
      </w:r>
      <w:r w:rsidRPr="00CD7ED1">
        <w:rPr>
          <w:rFonts w:ascii="Calibri" w:hAnsi="Calibri" w:cs="Calibri"/>
          <w:lang w:val="en-US"/>
        </w:rPr>
        <w:t xml:space="preserve">is already preparing a new project and intends to submit a new funding application for 2025 </w:t>
      </w:r>
      <w:r w:rsidRPr="00CD7ED1">
        <w:rPr>
          <w:rFonts w:ascii="Calibri" w:hAnsi="Calibri" w:cs="Calibri"/>
          <w:lang w:val="en-US"/>
        </w:rPr>
        <w:lastRenderedPageBreak/>
        <w:t>at the beginning of December.</w:t>
      </w:r>
    </w:p>
    <w:p w14:paraId="3027310A" w14:textId="37E961B2"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Although </w:t>
      </w:r>
      <w:r w:rsidR="00F30BF9">
        <w:rPr>
          <w:rFonts w:ascii="Calibri" w:hAnsi="Calibri" w:cs="Calibri"/>
          <w:lang w:val="en-US"/>
        </w:rPr>
        <w:t>RDA</w:t>
      </w:r>
      <w:r w:rsidRPr="00CD7ED1">
        <w:rPr>
          <w:rFonts w:ascii="Calibri" w:hAnsi="Calibri" w:cs="Calibri"/>
          <w:lang w:val="en-US"/>
        </w:rPr>
        <w:t xml:space="preserve"> </w:t>
      </w:r>
      <w:r w:rsidR="00AC427C">
        <w:rPr>
          <w:rFonts w:ascii="Calibri" w:hAnsi="Calibri" w:cs="Calibri"/>
          <w:lang w:val="en-US"/>
        </w:rPr>
        <w:t>staff</w:t>
      </w:r>
      <w:r w:rsidRPr="00CD7ED1">
        <w:rPr>
          <w:rFonts w:ascii="Calibri" w:hAnsi="Calibri" w:cs="Calibri"/>
          <w:lang w:val="en-US"/>
        </w:rPr>
        <w:t xml:space="preserve"> </w:t>
      </w:r>
      <w:proofErr w:type="gramStart"/>
      <w:r w:rsidRPr="00CD7ED1">
        <w:rPr>
          <w:rFonts w:ascii="Calibri" w:hAnsi="Calibri" w:cs="Calibri"/>
          <w:lang w:val="en-US"/>
        </w:rPr>
        <w:t>ha</w:t>
      </w:r>
      <w:r w:rsidR="00AC427C">
        <w:rPr>
          <w:rFonts w:ascii="Calibri" w:hAnsi="Calibri" w:cs="Calibri"/>
          <w:lang w:val="en-US"/>
        </w:rPr>
        <w:t>s</w:t>
      </w:r>
      <w:proofErr w:type="gramEnd"/>
      <w:r w:rsidRPr="00CD7ED1">
        <w:rPr>
          <w:rFonts w:ascii="Calibri" w:hAnsi="Calibri" w:cs="Calibri"/>
          <w:lang w:val="en-US"/>
        </w:rPr>
        <w:t xml:space="preserve"> experience from two previous programming periods, when the agency acted as an intermediate body performing delegated tasks under a technical assistance contract, the current role involves new activities, which pose challenges.</w:t>
      </w:r>
    </w:p>
    <w:p w14:paraId="6A911F5A" w14:textId="7F6D974F"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From </w:t>
      </w:r>
      <w:r w:rsidR="00F30BF9">
        <w:rPr>
          <w:rFonts w:ascii="Calibri" w:hAnsi="Calibri" w:cs="Calibri"/>
          <w:lang w:val="en-US"/>
        </w:rPr>
        <w:t>RDA</w:t>
      </w:r>
      <w:r w:rsidRPr="00CD7ED1">
        <w:rPr>
          <w:rFonts w:ascii="Calibri" w:hAnsi="Calibri" w:cs="Calibri"/>
          <w:lang w:val="en-US"/>
        </w:rPr>
        <w:t>’s perspective as a technical assistance beneficiary, there have been challenges in the current programming period. One major issue was that the MySMIS platform was non-functional for a significant period. The first technical assistance application was submitted in the old version of MySMIS and later had to be re-uploaded in the new version once it became functional — effectively after the project had already been implemented.</w:t>
      </w:r>
    </w:p>
    <w:p w14:paraId="5C6CADEA"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Current legislation (Government Emergency Ordinance 23 on transposition) does not achieve its intended purpose of easing the administrative burden on beneficiaries. A significant difficulty for the Economic Directorate team was the need to duplicate efforts — reprocessing an entire large-scale project worth 17 million lei, invoice by invoice, payment order by payment order. Despite the objective of reducing the administrative burden, this was not achieved.</w:t>
      </w:r>
    </w:p>
    <w:p w14:paraId="5058CB44" w14:textId="0F651A9E"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Almost all </w:t>
      </w:r>
      <w:r w:rsidR="00F30BF9">
        <w:rPr>
          <w:rFonts w:ascii="Calibri" w:hAnsi="Calibri" w:cs="Calibri"/>
          <w:lang w:val="en-US"/>
        </w:rPr>
        <w:t>RDA SW</w:t>
      </w:r>
      <w:r w:rsidRPr="00CD7ED1">
        <w:rPr>
          <w:rFonts w:ascii="Calibri" w:hAnsi="Calibri" w:cs="Calibri"/>
          <w:lang w:val="en-US"/>
        </w:rPr>
        <w:t xml:space="preserve"> staff had experience working as an intermediate body with the former managing authority, and they were trained under that work model. With the expanded role of </w:t>
      </w:r>
      <w:r w:rsidR="00F30BF9">
        <w:rPr>
          <w:rFonts w:ascii="Calibri" w:hAnsi="Calibri" w:cs="Calibri"/>
          <w:lang w:val="en-US"/>
        </w:rPr>
        <w:t>RDA</w:t>
      </w:r>
      <w:r w:rsidRPr="00CD7ED1">
        <w:rPr>
          <w:rFonts w:ascii="Calibri" w:hAnsi="Calibri" w:cs="Calibri"/>
          <w:lang w:val="en-US"/>
        </w:rPr>
        <w:t>, the projects have become more complex.</w:t>
      </w:r>
    </w:p>
    <w:p w14:paraId="797AC0B3"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There are simplified cost options for the technical assistance priority, with 15% of salary budgets allocated to administrative expenses.</w:t>
      </w:r>
    </w:p>
    <w:p w14:paraId="753F7A6D"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Processes are more streamlined and faster in this programming period, partly because the beneficiaries of technical assistance projects are colleagues within the same institution as the Managing Authority staff (albeit in different departments). Thus, waiting times for processing addenda or reimbursement requests have shortened significantly compared to previous periods, when such steps could take months. This is an advantage for ADR as a technical assistance project beneficiary.</w:t>
      </w:r>
    </w:p>
    <w:p w14:paraId="1F489AEA"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Potential beneficiaries need support from the Managing Authority at all project stages — starting with information and preparation, and especially during implementation. Implementation is the stage that requires the most support. ADR supports beneficiaries through information sessions organized at each stage.</w:t>
      </w:r>
    </w:p>
    <w:p w14:paraId="3F6BCB77" w14:textId="38BCA1F5" w:rsidR="00CD7ED1" w:rsidRPr="00CD7ED1" w:rsidRDefault="00F30BF9" w:rsidP="00CD7ED1">
      <w:pPr>
        <w:pStyle w:val="ListParagraph"/>
        <w:numPr>
          <w:ilvl w:val="0"/>
          <w:numId w:val="3"/>
        </w:numPr>
        <w:jc w:val="both"/>
        <w:rPr>
          <w:rFonts w:ascii="Calibri" w:hAnsi="Calibri" w:cs="Calibri"/>
          <w:lang w:val="en-US"/>
        </w:rPr>
      </w:pPr>
      <w:r>
        <w:rPr>
          <w:rFonts w:ascii="Calibri" w:hAnsi="Calibri" w:cs="Calibri"/>
          <w:lang w:val="en-US"/>
        </w:rPr>
        <w:t>RDA</w:t>
      </w:r>
      <w:r w:rsidR="00CD7ED1" w:rsidRPr="00CD7ED1">
        <w:rPr>
          <w:rFonts w:ascii="Calibri" w:hAnsi="Calibri" w:cs="Calibri"/>
          <w:lang w:val="en-US"/>
        </w:rPr>
        <w:t xml:space="preserve"> is currently preparing a guide on public procurement cases to help beneficiaries prevent and avoid common mistakes. After funding contracts are signed, training sessions are organized for all beneficiaries, guiding them step-by-step on what follows and how to carry out activities. Contract officers are assigned to maintain ongoing contact during the implementation period.</w:t>
      </w:r>
    </w:p>
    <w:p w14:paraId="25696082"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The activities planned in both Priority 8 projects are similar; differences may arise in the number and thematic focus of </w:t>
      </w:r>
      <w:proofErr w:type="gramStart"/>
      <w:r w:rsidRPr="00CD7ED1">
        <w:rPr>
          <w:rFonts w:ascii="Calibri" w:hAnsi="Calibri" w:cs="Calibri"/>
          <w:lang w:val="en-US"/>
        </w:rPr>
        <w:t>trainings</w:t>
      </w:r>
      <w:proofErr w:type="gramEnd"/>
      <w:r w:rsidRPr="00CD7ED1">
        <w:rPr>
          <w:rFonts w:ascii="Calibri" w:hAnsi="Calibri" w:cs="Calibri"/>
          <w:lang w:val="en-US"/>
        </w:rPr>
        <w:t xml:space="preserve"> at a given time. Likewise, events are linked to the timing of programme guide launches. While </w:t>
      </w:r>
      <w:proofErr w:type="gramStart"/>
      <w:r w:rsidRPr="00CD7ED1">
        <w:rPr>
          <w:rFonts w:ascii="Calibri" w:hAnsi="Calibri" w:cs="Calibri"/>
          <w:lang w:val="en-US"/>
        </w:rPr>
        <w:t>event</w:t>
      </w:r>
      <w:proofErr w:type="gramEnd"/>
      <w:r w:rsidRPr="00CD7ED1">
        <w:rPr>
          <w:rFonts w:ascii="Calibri" w:hAnsi="Calibri" w:cs="Calibri"/>
          <w:lang w:val="en-US"/>
        </w:rPr>
        <w:t xml:space="preserve"> themes will differ, the structure of activities in the funding applications will remain the same.</w:t>
      </w:r>
    </w:p>
    <w:p w14:paraId="56A8319E" w14:textId="4E126EC0"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The guide for the first project funded through Technical Assistance was designed and adapted for MySMIS 2014. Later, </w:t>
      </w:r>
      <w:r w:rsidR="00F30BF9">
        <w:rPr>
          <w:rFonts w:ascii="Calibri" w:hAnsi="Calibri" w:cs="Calibri"/>
          <w:lang w:val="en-US"/>
        </w:rPr>
        <w:t>RDA</w:t>
      </w:r>
      <w:r w:rsidRPr="00CD7ED1">
        <w:rPr>
          <w:rFonts w:ascii="Calibri" w:hAnsi="Calibri" w:cs="Calibri"/>
          <w:lang w:val="en-US"/>
        </w:rPr>
        <w:t xml:space="preserve"> colleagues had to issue </w:t>
      </w:r>
      <w:proofErr w:type="gramStart"/>
      <w:r w:rsidRPr="00CD7ED1">
        <w:rPr>
          <w:rFonts w:ascii="Calibri" w:hAnsi="Calibri" w:cs="Calibri"/>
          <w:lang w:val="en-US"/>
        </w:rPr>
        <w:t>a new instruction</w:t>
      </w:r>
      <w:proofErr w:type="gramEnd"/>
      <w:r w:rsidRPr="00CD7ED1">
        <w:rPr>
          <w:rFonts w:ascii="Calibri" w:hAnsi="Calibri" w:cs="Calibri"/>
          <w:lang w:val="en-US"/>
        </w:rPr>
        <w:t xml:space="preserve"> to align and adapt project information between the old and new management systems.</w:t>
      </w:r>
    </w:p>
    <w:p w14:paraId="0D8464CD" w14:textId="37D898AA"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lastRenderedPageBreak/>
        <w:t xml:space="preserve">As a technical assistance beneficiary, </w:t>
      </w:r>
      <w:r w:rsidR="00F30BF9">
        <w:rPr>
          <w:rFonts w:ascii="Calibri" w:hAnsi="Calibri" w:cs="Calibri"/>
          <w:lang w:val="en-US"/>
        </w:rPr>
        <w:t>RDA</w:t>
      </w:r>
      <w:r w:rsidRPr="00CD7ED1">
        <w:rPr>
          <w:rFonts w:ascii="Calibri" w:hAnsi="Calibri" w:cs="Calibri"/>
          <w:lang w:val="en-US"/>
        </w:rPr>
        <w:t xml:space="preserve"> must adapt to various technical details that complicate operations. </w:t>
      </w:r>
      <w:proofErr w:type="gramStart"/>
      <w:r w:rsidRPr="00CD7ED1">
        <w:rPr>
          <w:rFonts w:ascii="Calibri" w:hAnsi="Calibri" w:cs="Calibri"/>
          <w:lang w:val="en-US"/>
        </w:rPr>
        <w:t>Ministry</w:t>
      </w:r>
      <w:proofErr w:type="gramEnd"/>
      <w:r w:rsidRPr="00CD7ED1">
        <w:rPr>
          <w:rFonts w:ascii="Calibri" w:hAnsi="Calibri" w:cs="Calibri"/>
          <w:lang w:val="en-US"/>
        </w:rPr>
        <w:t xml:space="preserve"> of Investments and European Projects, as the coordinator of all programmes, requested procedural documents years after the programming period began. New legislation was issued during the current programming period, requiring procedures to be revised and adapted. The new laws do not consider the architecture of the previous system, which is the source of many obstacles encountered by project implementation teams supported through P8.</w:t>
      </w:r>
    </w:p>
    <w:p w14:paraId="2B1BBD41"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The management team of the two P8 projects consisted of individuals with prior experience in similar projects. Their </w:t>
      </w:r>
      <w:proofErr w:type="gramStart"/>
      <w:r w:rsidRPr="00CD7ED1">
        <w:rPr>
          <w:rFonts w:ascii="Calibri" w:hAnsi="Calibri" w:cs="Calibri"/>
          <w:lang w:val="en-US"/>
        </w:rPr>
        <w:t>past experience</w:t>
      </w:r>
      <w:proofErr w:type="gramEnd"/>
      <w:r w:rsidRPr="00CD7ED1">
        <w:rPr>
          <w:rFonts w:ascii="Calibri" w:hAnsi="Calibri" w:cs="Calibri"/>
          <w:lang w:val="en-US"/>
        </w:rPr>
        <w:t xml:space="preserve"> helped them manage and overcome problems that arose.</w:t>
      </w:r>
    </w:p>
    <w:p w14:paraId="6238239A" w14:textId="77777777"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Apart from the difficulties caused by the SMIS system, there were no other external factors hindering technical assistance contract implementation. There were no issues in procurement estimation or implementation, nor were there inflation-related issues.</w:t>
      </w:r>
    </w:p>
    <w:p w14:paraId="1EBAC59B" w14:textId="6D65ED8A" w:rsidR="00CD7ED1" w:rsidRP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ADR serves as an intermediate body for both the Just Transition Programme and the Health Programme. As a potential technical assistance beneficiary, ADR SV submitted funding applications for the Health Programme in November of last year, but the contracts are still unsigned. The same applies to </w:t>
      </w:r>
      <w:r w:rsidR="00F30BF9">
        <w:rPr>
          <w:rFonts w:ascii="Calibri" w:hAnsi="Calibri" w:cs="Calibri"/>
          <w:lang w:val="en-US"/>
        </w:rPr>
        <w:t>JTP</w:t>
      </w:r>
      <w:r w:rsidRPr="00CD7ED1">
        <w:rPr>
          <w:rFonts w:ascii="Calibri" w:hAnsi="Calibri" w:cs="Calibri"/>
          <w:lang w:val="en-US"/>
        </w:rPr>
        <w:t>. Things are moving much slower in these programmes compared to the Regional Programme.</w:t>
      </w:r>
    </w:p>
    <w:p w14:paraId="7E3B8C0B" w14:textId="2EA77266" w:rsidR="00CD7ED1" w:rsidRDefault="00CD7ED1" w:rsidP="00CD7ED1">
      <w:pPr>
        <w:pStyle w:val="ListParagraph"/>
        <w:numPr>
          <w:ilvl w:val="0"/>
          <w:numId w:val="3"/>
        </w:numPr>
        <w:jc w:val="both"/>
        <w:rPr>
          <w:rFonts w:ascii="Calibri" w:hAnsi="Calibri" w:cs="Calibri"/>
          <w:lang w:val="en-US"/>
        </w:rPr>
      </w:pPr>
      <w:r w:rsidRPr="00CD7ED1">
        <w:rPr>
          <w:rFonts w:ascii="Calibri" w:hAnsi="Calibri" w:cs="Calibri"/>
          <w:lang w:val="en-US"/>
        </w:rPr>
        <w:t xml:space="preserve">The Health Programme has two priorities: one that reimburses only salaries and administrative costs (simplified 15% costs), and another that reimburses material resources for the intermediate body. The Just Transition Programme also differs — it reimburses salaries but not fuel expenses. </w:t>
      </w:r>
      <w:r w:rsidR="00F30BF9">
        <w:rPr>
          <w:rFonts w:ascii="Calibri" w:hAnsi="Calibri" w:cs="Calibri"/>
          <w:lang w:val="en-US"/>
        </w:rPr>
        <w:t>RDA</w:t>
      </w:r>
      <w:r w:rsidRPr="00CD7ED1">
        <w:rPr>
          <w:rFonts w:ascii="Calibri" w:hAnsi="Calibri" w:cs="Calibri"/>
          <w:lang w:val="en-US"/>
        </w:rPr>
        <w:t xml:space="preserve"> staff must travel for field visits and are required to purchase electric cars. However, until those vehicles are procured, if visits are necessary, fuel expenses are not reimbursed due to </w:t>
      </w:r>
      <w:r w:rsidR="00F30BF9">
        <w:rPr>
          <w:rFonts w:ascii="Calibri" w:hAnsi="Calibri" w:cs="Calibri"/>
          <w:lang w:val="en-US"/>
        </w:rPr>
        <w:t xml:space="preserve">JTP </w:t>
      </w:r>
      <w:r w:rsidRPr="00CD7ED1">
        <w:rPr>
          <w:rFonts w:ascii="Calibri" w:hAnsi="Calibri" w:cs="Calibri"/>
          <w:lang w:val="en-US"/>
        </w:rPr>
        <w:t>regulations.</w:t>
      </w:r>
    </w:p>
    <w:p w14:paraId="786AC1B9" w14:textId="09AFD9E3" w:rsidR="00F918A0" w:rsidRPr="00F918A0" w:rsidRDefault="00F918A0" w:rsidP="00F918A0">
      <w:pPr>
        <w:pStyle w:val="ListParagraph"/>
        <w:numPr>
          <w:ilvl w:val="0"/>
          <w:numId w:val="3"/>
        </w:numPr>
        <w:jc w:val="both"/>
        <w:rPr>
          <w:rFonts w:ascii="Calibri" w:hAnsi="Calibri" w:cs="Calibri"/>
          <w:lang w:val="en-US"/>
        </w:rPr>
      </w:pPr>
      <w:r w:rsidRPr="00F918A0">
        <w:rPr>
          <w:rFonts w:ascii="Calibri" w:hAnsi="Calibri" w:cs="Calibri"/>
          <w:lang w:val="en-US"/>
        </w:rPr>
        <w:t xml:space="preserve">These differences are also </w:t>
      </w:r>
      <w:proofErr w:type="gramStart"/>
      <w:r w:rsidRPr="00F918A0">
        <w:rPr>
          <w:rFonts w:ascii="Calibri" w:hAnsi="Calibri" w:cs="Calibri"/>
          <w:lang w:val="en-US"/>
        </w:rPr>
        <w:t>due to the fact that</w:t>
      </w:r>
      <w:proofErr w:type="gramEnd"/>
      <w:r w:rsidRPr="00F918A0">
        <w:rPr>
          <w:rFonts w:ascii="Calibri" w:hAnsi="Calibri" w:cs="Calibri"/>
          <w:lang w:val="en-US"/>
        </w:rPr>
        <w:t xml:space="preserve"> the RDA is the Managing Authority of the Regional Programme, which allows decisions to be made much more quickly, while for the other two programmes, it only holds the role of Intermediate Body.</w:t>
      </w:r>
    </w:p>
    <w:p w14:paraId="3296C3C1" w14:textId="7E90396C" w:rsidR="00F918A0" w:rsidRPr="00F918A0" w:rsidRDefault="00F918A0" w:rsidP="00F918A0">
      <w:pPr>
        <w:pStyle w:val="ListParagraph"/>
        <w:numPr>
          <w:ilvl w:val="0"/>
          <w:numId w:val="3"/>
        </w:numPr>
        <w:jc w:val="both"/>
        <w:rPr>
          <w:rFonts w:ascii="Calibri" w:hAnsi="Calibri" w:cs="Calibri"/>
          <w:lang w:val="en-US"/>
        </w:rPr>
      </w:pPr>
      <w:r w:rsidRPr="00F918A0">
        <w:rPr>
          <w:rFonts w:ascii="Calibri" w:hAnsi="Calibri" w:cs="Calibri"/>
          <w:lang w:val="en-US"/>
        </w:rPr>
        <w:t>Technical assistance activities also include collaboration with other RDAs. A recent event took place—a meeting at the level of RDA directors and heads of Managing Authorities, with the participation of all Managing Authorities for the Regional Programmes, as well as representatives from the ministries. These events bring all relevant actors to the same table to discuss issues and establish unified directions for action to facilitate activities.</w:t>
      </w:r>
    </w:p>
    <w:p w14:paraId="5CE08C2B" w14:textId="2BB85AC7" w:rsidR="00F918A0" w:rsidRPr="00F918A0" w:rsidRDefault="00F918A0" w:rsidP="00F918A0">
      <w:pPr>
        <w:pStyle w:val="ListParagraph"/>
        <w:numPr>
          <w:ilvl w:val="0"/>
          <w:numId w:val="3"/>
        </w:numPr>
        <w:jc w:val="both"/>
        <w:rPr>
          <w:rFonts w:ascii="Calibri" w:hAnsi="Calibri" w:cs="Calibri"/>
          <w:lang w:val="en-US"/>
        </w:rPr>
      </w:pPr>
      <w:r w:rsidRPr="00F918A0">
        <w:rPr>
          <w:rFonts w:ascii="Calibri" w:hAnsi="Calibri" w:cs="Calibri"/>
          <w:lang w:val="en-US"/>
        </w:rPr>
        <w:t xml:space="preserve">The needs included in the technical assistance projects are identified by the departments within the RDA, which communicate them to the Economic Department. This department then translates them into a funding application and a procurement plan. So far, no </w:t>
      </w:r>
      <w:proofErr w:type="gramStart"/>
      <w:r w:rsidRPr="00F918A0">
        <w:rPr>
          <w:rFonts w:ascii="Calibri" w:hAnsi="Calibri" w:cs="Calibri"/>
          <w:lang w:val="en-US"/>
        </w:rPr>
        <w:t>needs</w:t>
      </w:r>
      <w:proofErr w:type="gramEnd"/>
      <w:r w:rsidRPr="00F918A0">
        <w:rPr>
          <w:rFonts w:ascii="Calibri" w:hAnsi="Calibri" w:cs="Calibri"/>
          <w:lang w:val="en-US"/>
        </w:rPr>
        <w:t xml:space="preserve"> related to experience exchange </w:t>
      </w:r>
      <w:proofErr w:type="gramStart"/>
      <w:r w:rsidRPr="00F918A0">
        <w:rPr>
          <w:rFonts w:ascii="Calibri" w:hAnsi="Calibri" w:cs="Calibri"/>
          <w:lang w:val="en-US"/>
        </w:rPr>
        <w:t>have</w:t>
      </w:r>
      <w:proofErr w:type="gramEnd"/>
      <w:r w:rsidRPr="00F918A0">
        <w:rPr>
          <w:rFonts w:ascii="Calibri" w:hAnsi="Calibri" w:cs="Calibri"/>
          <w:lang w:val="en-US"/>
        </w:rPr>
        <w:t xml:space="preserve"> been identified, but if colleagues from the Managing Authority feel the need to organize such activities and request that they be included in technical assistance applications, this will be done.</w:t>
      </w:r>
    </w:p>
    <w:p w14:paraId="2D6E2B48" w14:textId="62651A5E" w:rsidR="00F918A0" w:rsidRPr="00F918A0" w:rsidRDefault="00F918A0" w:rsidP="00F918A0">
      <w:pPr>
        <w:pStyle w:val="ListParagraph"/>
        <w:numPr>
          <w:ilvl w:val="0"/>
          <w:numId w:val="3"/>
        </w:numPr>
        <w:jc w:val="both"/>
        <w:rPr>
          <w:rFonts w:ascii="Calibri" w:hAnsi="Calibri" w:cs="Calibri"/>
          <w:lang w:val="en-US"/>
        </w:rPr>
      </w:pPr>
      <w:r w:rsidRPr="00F918A0">
        <w:rPr>
          <w:rFonts w:ascii="Calibri" w:hAnsi="Calibri" w:cs="Calibri"/>
          <w:lang w:val="en-US"/>
        </w:rPr>
        <w:t xml:space="preserve">From the perspective of human resource allocation, there is a need to involve more human resources in the implementation of technical assistance contracts. All departments have a small number of staff, some of whom </w:t>
      </w:r>
      <w:proofErr w:type="gramStart"/>
      <w:r w:rsidRPr="00F918A0">
        <w:rPr>
          <w:rFonts w:ascii="Calibri" w:hAnsi="Calibri" w:cs="Calibri"/>
          <w:lang w:val="en-US"/>
        </w:rPr>
        <w:t>are just starting</w:t>
      </w:r>
      <w:proofErr w:type="gramEnd"/>
      <w:r w:rsidRPr="00F918A0">
        <w:rPr>
          <w:rFonts w:ascii="Calibri" w:hAnsi="Calibri" w:cs="Calibri"/>
          <w:lang w:val="en-US"/>
        </w:rPr>
        <w:t xml:space="preserve"> out, which is why they are also trained on the job by more experienced internal personnel.</w:t>
      </w:r>
    </w:p>
    <w:p w14:paraId="5A9479A0" w14:textId="0896D53F" w:rsidR="000D2773" w:rsidRPr="00AC427C" w:rsidRDefault="00F918A0" w:rsidP="00AC427C">
      <w:pPr>
        <w:pStyle w:val="ListParagraph"/>
        <w:numPr>
          <w:ilvl w:val="0"/>
          <w:numId w:val="3"/>
        </w:numPr>
        <w:jc w:val="both"/>
        <w:rPr>
          <w:rFonts w:ascii="Calibri" w:hAnsi="Calibri" w:cs="Calibri"/>
          <w:lang w:val="en-US"/>
        </w:rPr>
      </w:pPr>
      <w:r w:rsidRPr="00F918A0">
        <w:rPr>
          <w:rFonts w:ascii="Calibri" w:hAnsi="Calibri" w:cs="Calibri"/>
          <w:lang w:val="en-US"/>
        </w:rPr>
        <w:lastRenderedPageBreak/>
        <w:t>There is also a need for well-prepared beneficiaries who can successfully implement the projects.</w:t>
      </w:r>
    </w:p>
    <w:p w14:paraId="7453404D" w14:textId="77777777" w:rsidR="000D2773" w:rsidRDefault="000D2773" w:rsidP="000D2773">
      <w:pPr>
        <w:pStyle w:val="ListParagraph"/>
        <w:jc w:val="both"/>
        <w:rPr>
          <w:rFonts w:ascii="Calibri" w:hAnsi="Calibri" w:cs="Calibri"/>
        </w:rPr>
      </w:pPr>
    </w:p>
    <w:p w14:paraId="220B9E33" w14:textId="77777777" w:rsidR="000D2773" w:rsidRDefault="000D2773" w:rsidP="000D2773">
      <w:pPr>
        <w:pStyle w:val="ListParagraph"/>
        <w:jc w:val="both"/>
        <w:rPr>
          <w:rFonts w:ascii="Calibri" w:hAnsi="Calibri" w:cs="Calibri"/>
        </w:rPr>
      </w:pPr>
    </w:p>
    <w:p w14:paraId="293D0768" w14:textId="77777777" w:rsidR="000D2773" w:rsidRDefault="000D2773" w:rsidP="000D2773">
      <w:pPr>
        <w:pStyle w:val="ListParagraph"/>
        <w:jc w:val="both"/>
        <w:rPr>
          <w:rFonts w:ascii="Calibri" w:hAnsi="Calibri" w:cs="Calibri"/>
        </w:rPr>
      </w:pPr>
    </w:p>
    <w:sectPr w:rsidR="000D2773" w:rsidSect="006879D6">
      <w:headerReference w:type="default" r:id="rId7"/>
      <w:footerReference w:type="default" r:id="rId8"/>
      <w:pgSz w:w="11907" w:h="16839" w:code="9"/>
      <w:pgMar w:top="1440" w:right="1440" w:bottom="1440" w:left="1440" w:header="340" w:footer="124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36CC5" w14:textId="77777777" w:rsidR="00541B67" w:rsidRDefault="00541B67" w:rsidP="006879D6">
      <w:pPr>
        <w:spacing w:after="0" w:line="240" w:lineRule="auto"/>
      </w:pPr>
      <w:r>
        <w:separator/>
      </w:r>
    </w:p>
  </w:endnote>
  <w:endnote w:type="continuationSeparator" w:id="0">
    <w:p w14:paraId="4B41BFB5" w14:textId="77777777" w:rsidR="00541B67" w:rsidRDefault="00541B67" w:rsidP="00687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FA0F1" w14:textId="5308EEBD" w:rsidR="006879D6" w:rsidRDefault="006879D6">
    <w:pPr>
      <w:pStyle w:val="Footer"/>
    </w:pPr>
    <w:r>
      <w:rPr>
        <w:rFonts w:ascii="Eastman Roman Trial" w:hAnsi="Eastman Roman Trial" w:cstheme="minorHAnsi"/>
        <w:noProof/>
        <w:sz w:val="28"/>
        <w:szCs w:val="28"/>
      </w:rPr>
      <w:drawing>
        <wp:anchor distT="0" distB="0" distL="114300" distR="114300" simplePos="0" relativeHeight="251716608" behindDoc="0" locked="0" layoutInCell="1" allowOverlap="1" wp14:anchorId="18BB9C0F" wp14:editId="624F9B38">
          <wp:simplePos x="0" y="0"/>
          <wp:positionH relativeFrom="margin">
            <wp:posOffset>-914400</wp:posOffset>
          </wp:positionH>
          <wp:positionV relativeFrom="margin">
            <wp:posOffset>8279130</wp:posOffset>
          </wp:positionV>
          <wp:extent cx="7490460" cy="1051560"/>
          <wp:effectExtent l="0" t="0" r="0" b="0"/>
          <wp:wrapSquare wrapText="bothSides"/>
          <wp:docPr id="993656079"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sz w:val="28"/>
        <w:szCs w:val="28"/>
      </w:rPr>
      <w:drawing>
        <wp:anchor distT="0" distB="0" distL="114300" distR="114300" simplePos="0" relativeHeight="251697152" behindDoc="0" locked="0" layoutInCell="1" allowOverlap="1" wp14:anchorId="6F3EE1E5" wp14:editId="4B353396">
          <wp:simplePos x="0" y="0"/>
          <wp:positionH relativeFrom="margin">
            <wp:posOffset>-1066800</wp:posOffset>
          </wp:positionH>
          <wp:positionV relativeFrom="margin">
            <wp:posOffset>9314180</wp:posOffset>
          </wp:positionV>
          <wp:extent cx="7440930" cy="259080"/>
          <wp:effectExtent l="0" t="0" r="0" b="0"/>
          <wp:wrapSquare wrapText="bothSides"/>
          <wp:docPr id="20399532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DAE6C" w14:textId="77777777" w:rsidR="00541B67" w:rsidRDefault="00541B67" w:rsidP="006879D6">
      <w:pPr>
        <w:spacing w:after="0" w:line="240" w:lineRule="auto"/>
      </w:pPr>
      <w:r>
        <w:separator/>
      </w:r>
    </w:p>
  </w:footnote>
  <w:footnote w:type="continuationSeparator" w:id="0">
    <w:p w14:paraId="490A09D8" w14:textId="77777777" w:rsidR="00541B67" w:rsidRDefault="00541B67" w:rsidP="00687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E4A9D" w14:textId="77777777" w:rsidR="006879D6" w:rsidRDefault="006879D6" w:rsidP="006879D6">
    <w:pPr>
      <w:ind w:left="-1440"/>
      <w:jc w:val="both"/>
      <w:rPr>
        <w:rFonts w:ascii="Eastman Roman Trial Extrabold" w:hAnsi="Eastman Roman Trial Extrabold" w:cstheme="minorHAnsi"/>
        <w:noProof/>
        <w:sz w:val="36"/>
        <w:szCs w:val="36"/>
      </w:rPr>
    </w:pPr>
    <w:r>
      <w:rPr>
        <w:rFonts w:ascii="Eastman Roman Trial" w:hAnsi="Eastman Roman Trial" w:cstheme="minorHAnsi"/>
        <w:noProof/>
      </w:rPr>
      <w:drawing>
        <wp:anchor distT="0" distB="0" distL="114300" distR="114300" simplePos="0" relativeHeight="251624448" behindDoc="0" locked="0" layoutInCell="1" allowOverlap="1" wp14:anchorId="001137A4" wp14:editId="2F903072">
          <wp:simplePos x="0" y="0"/>
          <wp:positionH relativeFrom="margin">
            <wp:posOffset>-365760</wp:posOffset>
          </wp:positionH>
          <wp:positionV relativeFrom="topMargin">
            <wp:posOffset>358140</wp:posOffset>
          </wp:positionV>
          <wp:extent cx="2164080" cy="453390"/>
          <wp:effectExtent l="0" t="0" r="0" b="3810"/>
          <wp:wrapSquare wrapText="bothSides"/>
          <wp:docPr id="1698669787"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rPr>
      <w:drawing>
        <wp:anchor distT="0" distB="0" distL="114300" distR="114300" simplePos="0" relativeHeight="251651072" behindDoc="0" locked="0" layoutInCell="1" allowOverlap="1" wp14:anchorId="499F6327" wp14:editId="02AB9934">
          <wp:simplePos x="0" y="0"/>
          <wp:positionH relativeFrom="margin">
            <wp:posOffset>2335530</wp:posOffset>
          </wp:positionH>
          <wp:positionV relativeFrom="page">
            <wp:posOffset>220980</wp:posOffset>
          </wp:positionV>
          <wp:extent cx="1897380" cy="746760"/>
          <wp:effectExtent l="0" t="0" r="0" b="0"/>
          <wp:wrapSquare wrapText="bothSides"/>
          <wp:docPr id="1141447345"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rPr>
      <w:drawing>
        <wp:anchor distT="0" distB="0" distL="114300" distR="114300" simplePos="0" relativeHeight="251677696" behindDoc="0" locked="0" layoutInCell="1" allowOverlap="1" wp14:anchorId="0C20FEB1" wp14:editId="68D77284">
          <wp:simplePos x="0" y="0"/>
          <wp:positionH relativeFrom="margin">
            <wp:posOffset>4792980</wp:posOffset>
          </wp:positionH>
          <wp:positionV relativeFrom="margin">
            <wp:posOffset>-725170</wp:posOffset>
          </wp:positionV>
          <wp:extent cx="1709420" cy="624840"/>
          <wp:effectExtent l="0" t="0" r="0" b="0"/>
          <wp:wrapSquare wrapText="bothSides"/>
          <wp:docPr id="811423120"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D0A21F4" w14:textId="77777777" w:rsidR="006879D6" w:rsidRDefault="00687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60955"/>
    <w:multiLevelType w:val="multilevel"/>
    <w:tmpl w:val="80465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D2CC1"/>
    <w:multiLevelType w:val="hybridMultilevel"/>
    <w:tmpl w:val="64A44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B24C1D"/>
    <w:multiLevelType w:val="hybridMultilevel"/>
    <w:tmpl w:val="7D8CEBF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03937725">
    <w:abstractNumId w:val="1"/>
  </w:num>
  <w:num w:numId="2" w16cid:durableId="1110122766">
    <w:abstractNumId w:val="2"/>
  </w:num>
  <w:num w:numId="3" w16cid:durableId="551118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E12E3"/>
    <w:rsid w:val="000D2773"/>
    <w:rsid w:val="001128E2"/>
    <w:rsid w:val="001C34CD"/>
    <w:rsid w:val="00240751"/>
    <w:rsid w:val="00295A7B"/>
    <w:rsid w:val="00446E25"/>
    <w:rsid w:val="00526863"/>
    <w:rsid w:val="00541B67"/>
    <w:rsid w:val="005603A8"/>
    <w:rsid w:val="00593B81"/>
    <w:rsid w:val="005A5EAD"/>
    <w:rsid w:val="005E12E3"/>
    <w:rsid w:val="006879D6"/>
    <w:rsid w:val="0071247A"/>
    <w:rsid w:val="007B52C7"/>
    <w:rsid w:val="007C30CF"/>
    <w:rsid w:val="00881DFC"/>
    <w:rsid w:val="009C7CF1"/>
    <w:rsid w:val="009F3580"/>
    <w:rsid w:val="009F4B67"/>
    <w:rsid w:val="00A82245"/>
    <w:rsid w:val="00AC427C"/>
    <w:rsid w:val="00AF44DB"/>
    <w:rsid w:val="00B31516"/>
    <w:rsid w:val="00BD2E90"/>
    <w:rsid w:val="00BF0511"/>
    <w:rsid w:val="00BF58A2"/>
    <w:rsid w:val="00C122FA"/>
    <w:rsid w:val="00C22F8C"/>
    <w:rsid w:val="00C674C0"/>
    <w:rsid w:val="00CD7ED1"/>
    <w:rsid w:val="00CF4AE5"/>
    <w:rsid w:val="00D260F8"/>
    <w:rsid w:val="00D26C5F"/>
    <w:rsid w:val="00D27E50"/>
    <w:rsid w:val="00DD3B54"/>
    <w:rsid w:val="00E55F63"/>
    <w:rsid w:val="00F30BF9"/>
    <w:rsid w:val="00F72A69"/>
    <w:rsid w:val="00F918A0"/>
    <w:rsid w:val="00FB27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718B7"/>
  <w15:docId w15:val="{F703095D-23FA-4B69-B4DB-BFEF1A62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277"/>
    <w:rPr>
      <w:lang w:val="ro-RO"/>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156082"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156082"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156082"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156082" w:themeColor="accent1"/>
      <w:spacing w:val="15"/>
      <w:sz w:val="24"/>
      <w:szCs w:val="24"/>
    </w:rPr>
  </w:style>
  <w:style w:type="paragraph" w:styleId="Title">
    <w:name w:val="Title"/>
    <w:basedOn w:val="Normal"/>
    <w:next w:val="Normal"/>
    <w:link w:val="Title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156082" w:themeColor="accent1"/>
      <w:sz w:val="18"/>
      <w:szCs w:val="18"/>
    </w:rPr>
  </w:style>
  <w:style w:type="table" w:styleId="ListTable2-Accent1">
    <w:name w:val="List Table 2 Accent 1"/>
    <w:basedOn w:val="TableNormal"/>
    <w:uiPriority w:val="47"/>
    <w:rsid w:val="001128E2"/>
    <w:pPr>
      <w:spacing w:after="0" w:line="240" w:lineRule="auto"/>
    </w:pPr>
    <w:rPr>
      <w:lang w:val="en-GB"/>
    </w:rPr>
    <w:tblPr>
      <w:tblStyleRowBandSize w:val="1"/>
      <w:tblStyleColBandSize w:val="1"/>
      <w:tblInd w:w="0" w:type="nil"/>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
    <w:basedOn w:val="Normal"/>
    <w:link w:val="ListParagraphChar"/>
    <w:uiPriority w:val="34"/>
    <w:qFormat/>
    <w:rsid w:val="001128E2"/>
    <w:pPr>
      <w:ind w:left="720"/>
      <w:contextualSpacing/>
    </w:pPr>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128E2"/>
    <w:rPr>
      <w:lang w:val="ro-RO"/>
    </w:rPr>
  </w:style>
  <w:style w:type="paragraph" w:styleId="Footer">
    <w:name w:val="footer"/>
    <w:basedOn w:val="Normal"/>
    <w:link w:val="FooterChar"/>
    <w:uiPriority w:val="99"/>
    <w:unhideWhenUsed/>
    <w:rsid w:val="00687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9D6"/>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9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258</TotalTime>
  <Pages>4</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Roxana Diaconu</cp:lastModifiedBy>
  <cp:revision>24</cp:revision>
  <dcterms:created xsi:type="dcterms:W3CDTF">2024-11-21T14:29:00Z</dcterms:created>
  <dcterms:modified xsi:type="dcterms:W3CDTF">2025-05-16T08:07:00Z</dcterms:modified>
</cp:coreProperties>
</file>